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B4859">
      <w:pPr>
        <w:pStyle w:val="Title"/>
        <w:ind w:left="-360" w:firstLine="360"/>
        <w:rPr>
          <w:b/>
          <w:bCs/>
          <w:sz w:val="24"/>
        </w:rPr>
      </w:pPr>
      <w:r>
        <w:rPr>
          <w:b/>
          <w:bCs/>
          <w:sz w:val="24"/>
        </w:rPr>
        <w:t>NOTICE TO OWNER</w:t>
      </w:r>
    </w:p>
    <w:p w:rsidR="00000000" w:rsidRDefault="00EB4859">
      <w:pPr>
        <w:jc w:val="center"/>
        <w:rPr>
          <w:rFonts w:ascii="Arial" w:hAnsi="Arial" w:cs="Arial"/>
          <w:b/>
          <w:bCs/>
          <w:sz w:val="14"/>
        </w:rPr>
      </w:pPr>
    </w:p>
    <w:p w:rsidR="00000000" w:rsidRDefault="00EB4859">
      <w:pPr>
        <w:rPr>
          <w:rFonts w:ascii="Arial" w:hAnsi="Arial" w:cs="Arial"/>
          <w:b/>
          <w:bCs/>
          <w:sz w:val="14"/>
        </w:rPr>
        <w:sectPr w:rsidR="00000000">
          <w:pgSz w:w="12240" w:h="15840"/>
          <w:pgMar w:top="720" w:right="1800" w:bottom="540" w:left="1800" w:header="720" w:footer="720" w:gutter="0"/>
          <w:cols w:space="720"/>
          <w:docGrid w:linePitch="360"/>
        </w:sectPr>
      </w:pPr>
      <w:r>
        <w:rPr>
          <w:rFonts w:ascii="Arial" w:hAnsi="Arial" w:cs="Arial"/>
          <w:b/>
          <w:bCs/>
          <w:sz w:val="14"/>
        </w:rPr>
        <w:tab/>
      </w:r>
    </w:p>
    <w:p w:rsidR="00000000" w:rsidRDefault="00EB4859">
      <w:pPr>
        <w:pStyle w:val="BodyTextIndent2"/>
      </w:pPr>
      <w:r>
        <w:lastRenderedPageBreak/>
        <w:t>Under the California Mechanics’ Lien Law, any contractor, subcontractor, laborer, supplier or entity who helps to improve your property, but is not paid for his worker her work or supplies, has a right to place a lien on your home, land,</w:t>
      </w:r>
      <w:r>
        <w:t xml:space="preserve"> or property where the work was preformed and to sue you in court to obtain payment.</w:t>
      </w:r>
    </w:p>
    <w:p w:rsidR="00000000" w:rsidRDefault="00EB4859">
      <w:pPr>
        <w:jc w:val="both"/>
        <w:rPr>
          <w:rFonts w:ascii="Arial" w:hAnsi="Arial" w:cs="Arial"/>
          <w:sz w:val="16"/>
        </w:rPr>
      </w:pPr>
    </w:p>
    <w:p w:rsidR="00000000" w:rsidRDefault="00EB4859">
      <w:pPr>
        <w:pStyle w:val="BodyText"/>
        <w:tabs>
          <w:tab w:val="left" w:pos="360"/>
        </w:tabs>
        <w:jc w:val="both"/>
        <w:rPr>
          <w:b w:val="0"/>
          <w:bCs w:val="0"/>
        </w:rPr>
      </w:pPr>
      <w:r>
        <w:rPr>
          <w:b w:val="0"/>
          <w:bCs w:val="0"/>
        </w:rPr>
        <w:tab/>
        <w:t>This means that after a court hearing, your home, land, and property could be sold by a court officer and the proceeds of the sale used to satisfy what you owe. This can</w:t>
      </w:r>
      <w:r>
        <w:rPr>
          <w:b w:val="0"/>
          <w:bCs w:val="0"/>
        </w:rPr>
        <w:t xml:space="preserve"> happen even if you have paid your contractor in full if the contractor’s subcontractors, laborers, or suppliers remain unpaid.</w:t>
      </w:r>
    </w:p>
    <w:p w:rsidR="00000000" w:rsidRDefault="00EB4859">
      <w:pPr>
        <w:jc w:val="both"/>
        <w:rPr>
          <w:rFonts w:ascii="Arial" w:hAnsi="Arial" w:cs="Arial"/>
          <w:sz w:val="16"/>
        </w:rPr>
      </w:pPr>
    </w:p>
    <w:p w:rsidR="00000000" w:rsidRDefault="00EB4859">
      <w:pPr>
        <w:pStyle w:val="BodyText3"/>
      </w:pPr>
      <w:r>
        <w:tab/>
        <w:t>To preserve their rights to file a claim or lien against your property, certain claimants such as subcontractors or material s</w:t>
      </w:r>
      <w:r>
        <w:t>uppliers are each required to provide you with a document called a “Preliminary Notice.”  Contractors and laborers who contract with the owners directly do not have to provide such a notice since you are aware of their existence as an owner.  A preliminary</w:t>
      </w:r>
      <w:r>
        <w:t xml:space="preserve"> notice is not a lien against your property. Its purposed is to notify you of persons or entitles that may have a right to file a lien against your property if they are not paid.  In order to perfect their lien rights, a contractor, subcontractor, supplier</w:t>
      </w:r>
      <w:r>
        <w:t xml:space="preserve"> or laborer must file a mechanics’ lien with the county recorder which then becomes a recorded lien against your property.  Generally, the maximum time allowed for filing a mechanics’ lien against your property is 90 days after substantial completion of yo</w:t>
      </w:r>
      <w:r>
        <w:t>ur project.</w:t>
      </w:r>
    </w:p>
    <w:p w:rsidR="00000000" w:rsidRDefault="00EB4859">
      <w:pPr>
        <w:jc w:val="both"/>
        <w:rPr>
          <w:rFonts w:ascii="Arial" w:hAnsi="Arial" w:cs="Arial"/>
          <w:sz w:val="16"/>
        </w:rPr>
      </w:pPr>
    </w:p>
    <w:p w:rsidR="00000000" w:rsidRDefault="00EB4859">
      <w:pPr>
        <w:pStyle w:val="BodyText3"/>
      </w:pPr>
      <w:r>
        <w:tab/>
        <w:t>TO INSURE EXTRA PROTECTION FOR YOURSELF AND YOUR PROPERTY, YOU MAY WISH TO TAKE ONE OR MORE OF THE FOLLOWING STEPS:</w:t>
      </w:r>
    </w:p>
    <w:p w:rsidR="00000000" w:rsidRDefault="00EB4859">
      <w:pPr>
        <w:jc w:val="both"/>
        <w:rPr>
          <w:rFonts w:ascii="Arial" w:hAnsi="Arial" w:cs="Arial"/>
          <w:sz w:val="16"/>
        </w:rPr>
      </w:pPr>
    </w:p>
    <w:p w:rsidR="00000000" w:rsidRDefault="00EB4859">
      <w:pPr>
        <w:numPr>
          <w:ilvl w:val="0"/>
          <w:numId w:val="1"/>
        </w:numPr>
        <w:tabs>
          <w:tab w:val="clear" w:pos="1080"/>
          <w:tab w:val="num" w:pos="0"/>
          <w:tab w:val="num" w:pos="360"/>
        </w:tabs>
        <w:ind w:left="0" w:firstLine="360"/>
        <w:jc w:val="both"/>
        <w:rPr>
          <w:rFonts w:ascii="Arial" w:hAnsi="Arial" w:cs="Arial"/>
          <w:sz w:val="16"/>
        </w:rPr>
      </w:pPr>
      <w:r>
        <w:rPr>
          <w:rFonts w:ascii="Arial" w:hAnsi="Arial" w:cs="Arial"/>
          <w:sz w:val="16"/>
        </w:rPr>
        <w:t>Require that your contractor supply you with a payment and performance bond (not a license bond), which provides that the bon</w:t>
      </w:r>
      <w:r>
        <w:rPr>
          <w:rFonts w:ascii="Arial" w:hAnsi="Arial" w:cs="Arial"/>
          <w:sz w:val="16"/>
        </w:rPr>
        <w:t>ding company will either complete the project or pay damages up to amount of bond, the payment and performance bond as well as a copy of the construction contract should be filed with the county recorder for further protection.  The payment and performance</w:t>
      </w:r>
      <w:r>
        <w:rPr>
          <w:rFonts w:ascii="Arial" w:hAnsi="Arial" w:cs="Arial"/>
          <w:sz w:val="16"/>
        </w:rPr>
        <w:t xml:space="preserve"> bond will usually cost from 1 to 5 percent of the contract amount depending on the contractor’s bonding ability.  If a contractor cannot obtain such bonding, it may indicate his or her financial incapacity.</w:t>
      </w:r>
    </w:p>
    <w:p w:rsidR="00000000" w:rsidRDefault="00EB4859">
      <w:pPr>
        <w:jc w:val="both"/>
        <w:rPr>
          <w:rFonts w:ascii="Arial" w:hAnsi="Arial" w:cs="Arial"/>
          <w:sz w:val="16"/>
        </w:rPr>
      </w:pPr>
    </w:p>
    <w:p w:rsidR="00000000" w:rsidRDefault="00EB4859">
      <w:pPr>
        <w:pStyle w:val="BodyTextIndent"/>
        <w:numPr>
          <w:ilvl w:val="0"/>
          <w:numId w:val="1"/>
        </w:numPr>
        <w:tabs>
          <w:tab w:val="clear" w:pos="1080"/>
          <w:tab w:val="num" w:pos="0"/>
          <w:tab w:val="num" w:pos="360"/>
        </w:tabs>
        <w:ind w:left="0" w:firstLine="360"/>
        <w:jc w:val="both"/>
        <w:rPr>
          <w:sz w:val="16"/>
        </w:rPr>
      </w:pPr>
      <w:r>
        <w:rPr>
          <w:sz w:val="16"/>
        </w:rPr>
        <w:t>Require that payments be made directly to subco</w:t>
      </w:r>
      <w:r>
        <w:rPr>
          <w:sz w:val="16"/>
        </w:rPr>
        <w:t>ntractors and material suppliers through a joint control.  Funding services may be available, for a fee, in your area which will establish voucher or other means of payment to your contractor.  These services mat also provide you with lien waivers and othe</w:t>
      </w:r>
      <w:r>
        <w:rPr>
          <w:sz w:val="16"/>
        </w:rPr>
        <w:t>r forms of protection.  Any joint control agreement should include the addendum approved by the registrar.</w:t>
      </w:r>
    </w:p>
    <w:p w:rsidR="00000000" w:rsidRDefault="00EB4859">
      <w:pPr>
        <w:pStyle w:val="BodyTextIndent"/>
        <w:ind w:firstLine="0"/>
        <w:jc w:val="both"/>
        <w:rPr>
          <w:sz w:val="16"/>
        </w:rPr>
      </w:pPr>
    </w:p>
    <w:p w:rsidR="00000000" w:rsidRDefault="00EB4859">
      <w:pPr>
        <w:pStyle w:val="BodyTextIndent"/>
        <w:numPr>
          <w:ilvl w:val="0"/>
          <w:numId w:val="1"/>
        </w:numPr>
        <w:tabs>
          <w:tab w:val="clear" w:pos="1080"/>
          <w:tab w:val="num" w:pos="0"/>
          <w:tab w:val="num" w:pos="360"/>
        </w:tabs>
        <w:ind w:left="0" w:firstLine="360"/>
        <w:jc w:val="both"/>
        <w:rPr>
          <w:sz w:val="16"/>
        </w:rPr>
      </w:pPr>
      <w:r>
        <w:rPr>
          <w:sz w:val="16"/>
        </w:rPr>
        <w:t>Issue joint checks for payment, made out to both your contractor and subcontractors or material suppliers involved in the project.  The joint checks</w:t>
      </w:r>
      <w:r>
        <w:rPr>
          <w:sz w:val="16"/>
        </w:rPr>
        <w:t xml:space="preserve"> should be made payable to the persons or entitles which send preliminary notices to you.  Those persons or entitles have indicated that they may have lien rights on your </w:t>
      </w:r>
      <w:proofErr w:type="gramStart"/>
      <w:r>
        <w:rPr>
          <w:sz w:val="16"/>
        </w:rPr>
        <w:t>property,</w:t>
      </w:r>
      <w:proofErr w:type="gramEnd"/>
      <w:r>
        <w:rPr>
          <w:sz w:val="16"/>
        </w:rPr>
        <w:t xml:space="preserve"> therefore you need to protect yourself.  This will help to insure that all </w:t>
      </w:r>
      <w:r>
        <w:rPr>
          <w:sz w:val="16"/>
        </w:rPr>
        <w:t>persons due payment are actually paid.</w:t>
      </w:r>
    </w:p>
    <w:p w:rsidR="00000000" w:rsidRDefault="00EB4859">
      <w:pPr>
        <w:pStyle w:val="BodyTextIndent"/>
        <w:tabs>
          <w:tab w:val="left" w:pos="4500"/>
        </w:tabs>
        <w:ind w:right="900" w:firstLine="0"/>
        <w:jc w:val="both"/>
        <w:rPr>
          <w:sz w:val="16"/>
        </w:rPr>
      </w:pPr>
    </w:p>
    <w:p w:rsidR="00000000" w:rsidRDefault="00EB4859">
      <w:pPr>
        <w:pStyle w:val="BodyTextIndent"/>
        <w:tabs>
          <w:tab w:val="left" w:pos="4230"/>
        </w:tabs>
        <w:ind w:firstLine="0"/>
        <w:jc w:val="both"/>
        <w:rPr>
          <w:sz w:val="16"/>
        </w:rPr>
      </w:pPr>
      <w:r>
        <w:rPr>
          <w:sz w:val="16"/>
        </w:rPr>
        <w:t xml:space="preserve">        4.    Upon making payment on any completed phase of the project, and before making any further payments, require your contractor to provide you with unconditional “Waiver and Release” forms signed by each mat</w:t>
      </w:r>
      <w:r>
        <w:rPr>
          <w:sz w:val="16"/>
        </w:rPr>
        <w:t>erial supplier, subcontractor, and laborer involved in that portion of the work for which payment was made.  The statutory lien releases are set forth in exact language in Section 3262 of the civil code.  Most stationary stores will sell the “Waiver and Re</w:t>
      </w:r>
      <w:r>
        <w:rPr>
          <w:sz w:val="16"/>
        </w:rPr>
        <w:t>lease” forms if your contractor does not have them.  The material suppliers, subcontractors, and laborers that you obtain releases from are those persons or entitles who have filed preliminary notices with you.</w:t>
      </w:r>
    </w:p>
    <w:p w:rsidR="00000000" w:rsidRDefault="00EB4859">
      <w:pPr>
        <w:pStyle w:val="BodyTextIndent"/>
        <w:tabs>
          <w:tab w:val="left" w:pos="4230"/>
        </w:tabs>
        <w:ind w:firstLine="0"/>
        <w:jc w:val="both"/>
        <w:rPr>
          <w:sz w:val="16"/>
        </w:rPr>
      </w:pPr>
    </w:p>
    <w:p w:rsidR="00000000" w:rsidRDefault="00EB4859">
      <w:pPr>
        <w:pStyle w:val="BodyTextIndent"/>
        <w:tabs>
          <w:tab w:val="left" w:pos="4230"/>
        </w:tabs>
        <w:ind w:firstLine="0"/>
        <w:jc w:val="both"/>
        <w:rPr>
          <w:sz w:val="16"/>
        </w:rPr>
      </w:pPr>
      <w:r>
        <w:rPr>
          <w:sz w:val="16"/>
        </w:rPr>
        <w:lastRenderedPageBreak/>
        <w:t>If you are not certain of the material suppl</w:t>
      </w:r>
      <w:r>
        <w:rPr>
          <w:sz w:val="16"/>
        </w:rPr>
        <w:t>iers, subcontractors, and laborers working on your project, you may obtain a list from your contractor.  On projects involving improvements to a single-family residence or a duplex owned by individuals, the persons signing the releases lose the right to fi</w:t>
      </w:r>
      <w:r>
        <w:rPr>
          <w:sz w:val="16"/>
        </w:rPr>
        <w:t>le a mechanic’s lien claim against your property.  In other types of construction, this protection may still be important, but may not be as complete.</w:t>
      </w:r>
    </w:p>
    <w:p w:rsidR="00000000" w:rsidRDefault="00EB4859">
      <w:pPr>
        <w:pStyle w:val="BodyTextIndent"/>
        <w:tabs>
          <w:tab w:val="left" w:pos="4500"/>
        </w:tabs>
        <w:ind w:right="900" w:firstLine="0"/>
        <w:jc w:val="both"/>
        <w:rPr>
          <w:sz w:val="16"/>
        </w:rPr>
      </w:pPr>
    </w:p>
    <w:p w:rsidR="00000000" w:rsidRDefault="00EB4859">
      <w:pPr>
        <w:pStyle w:val="BodyTextIndent"/>
        <w:tabs>
          <w:tab w:val="left" w:pos="4230"/>
          <w:tab w:val="left" w:pos="5040"/>
        </w:tabs>
        <w:jc w:val="both"/>
        <w:rPr>
          <w:sz w:val="16"/>
        </w:rPr>
      </w:pPr>
      <w:r>
        <w:rPr>
          <w:sz w:val="16"/>
        </w:rPr>
        <w:t xml:space="preserve">To protect yourself under this option, you must be certain that all material suppliers, subcontractors, </w:t>
      </w:r>
      <w:r>
        <w:rPr>
          <w:sz w:val="16"/>
        </w:rPr>
        <w:t>and laborers have signed the “Waiver and Release” form.  If a mechanics’ lien has been filed against your property, it can be voluntarily released by a recorded “Release of Mechanics’ Lien” signed by the person or entity that filed the mechanics’ lien agai</w:t>
      </w:r>
      <w:r>
        <w:rPr>
          <w:sz w:val="16"/>
        </w:rPr>
        <w:t>nst your property unless the lawsuit to enforce the lien was not timely filed.  You should not make any final payments until any and all such liens are removed.  You should consult an attorney if a lien is filed against you property.</w:t>
      </w:r>
    </w:p>
    <w:p w:rsidR="00000000" w:rsidRDefault="00EB4859">
      <w:pPr>
        <w:pStyle w:val="BodyTextIndent"/>
        <w:tabs>
          <w:tab w:val="left" w:pos="4500"/>
        </w:tabs>
        <w:ind w:right="900"/>
        <w:jc w:val="both"/>
        <w:rPr>
          <w:sz w:val="16"/>
        </w:rPr>
      </w:pPr>
    </w:p>
    <w:p w:rsidR="00000000" w:rsidRDefault="00EB4859">
      <w:pPr>
        <w:pStyle w:val="BodyTextIndent"/>
        <w:tabs>
          <w:tab w:val="left" w:pos="4500"/>
        </w:tabs>
        <w:jc w:val="both"/>
        <w:rPr>
          <w:sz w:val="16"/>
        </w:rPr>
      </w:pPr>
      <w:r>
        <w:rPr>
          <w:sz w:val="16"/>
        </w:rPr>
        <w:t>State law requires an</w:t>
      </w:r>
      <w:r>
        <w:rPr>
          <w:sz w:val="16"/>
        </w:rPr>
        <w:t>yone who contracts to do construction work to be licensed by the Contractors’ State License Board in the license category in which the contractor is going to be working- if the total price of the job is $500 or more (including labor and materials)</w:t>
      </w:r>
    </w:p>
    <w:p w:rsidR="00000000" w:rsidRDefault="00EB4859">
      <w:pPr>
        <w:pStyle w:val="BodyTextIndent"/>
        <w:tabs>
          <w:tab w:val="left" w:pos="4500"/>
        </w:tabs>
        <w:jc w:val="both"/>
        <w:rPr>
          <w:sz w:val="16"/>
        </w:rPr>
      </w:pPr>
      <w:r>
        <w:rPr>
          <w:sz w:val="16"/>
        </w:rPr>
        <w:t>Licensed</w:t>
      </w:r>
      <w:r>
        <w:rPr>
          <w:sz w:val="16"/>
        </w:rPr>
        <w:t xml:space="preserve"> contractors are regulated by laws designed to protect the public.  If you contract with someone who does not have a license, the Contractors’ State License Board may be unable to assist you with a complaint.  Your only remedy against an unlicensed contrac</w:t>
      </w:r>
      <w:r>
        <w:rPr>
          <w:sz w:val="16"/>
        </w:rPr>
        <w:t>tor may be in civil court, and you may be liable for damages arising out of any injuries to the contractor or his employees.</w:t>
      </w:r>
    </w:p>
    <w:p w:rsidR="00000000" w:rsidRDefault="00EB4859">
      <w:pPr>
        <w:pStyle w:val="BodyTextIndent"/>
        <w:tabs>
          <w:tab w:val="left" w:pos="4500"/>
        </w:tabs>
        <w:ind w:right="900"/>
        <w:jc w:val="both"/>
        <w:rPr>
          <w:color w:val="000000"/>
          <w:sz w:val="16"/>
        </w:rPr>
      </w:pPr>
    </w:p>
    <w:p w:rsidR="00000000" w:rsidRDefault="00EB4859">
      <w:pPr>
        <w:pStyle w:val="BodyTextIndent"/>
        <w:tabs>
          <w:tab w:val="left" w:pos="4500"/>
        </w:tabs>
        <w:jc w:val="both"/>
        <w:rPr>
          <w:color w:val="000000"/>
          <w:sz w:val="16"/>
        </w:rPr>
      </w:pPr>
      <w:r>
        <w:rPr>
          <w:color w:val="000000"/>
          <w:sz w:val="16"/>
        </w:rPr>
        <w:t>You may contact the Contractors’ State License Board to find out if this contractor has a valid license.  The board has complete i</w:t>
      </w:r>
      <w:r>
        <w:rPr>
          <w:color w:val="000000"/>
          <w:sz w:val="16"/>
        </w:rPr>
        <w:t xml:space="preserve">nformation on the history of licensed contractors, including any possible suspensions, revocations, judgments, and citations.  The board has offices throughout California.  Please check the government pages of the white pages for the office nearest you or </w:t>
      </w:r>
      <w:r>
        <w:rPr>
          <w:color w:val="000000"/>
          <w:sz w:val="16"/>
        </w:rPr>
        <w:t>call 1-800-321-cslb for more information.</w:t>
      </w:r>
    </w:p>
    <w:p w:rsidR="00000000" w:rsidRDefault="00EB4859">
      <w:pPr>
        <w:pStyle w:val="BodyTextIndent"/>
        <w:tabs>
          <w:tab w:val="left" w:pos="4500"/>
        </w:tabs>
        <w:ind w:right="900"/>
        <w:jc w:val="both"/>
        <w:rPr>
          <w:color w:val="000000"/>
          <w:sz w:val="16"/>
        </w:rPr>
      </w:pPr>
    </w:p>
    <w:p w:rsidR="00000000" w:rsidRDefault="00EB4859">
      <w:pPr>
        <w:pStyle w:val="BodyText2"/>
        <w:tabs>
          <w:tab w:val="left" w:pos="4500"/>
        </w:tabs>
        <w:jc w:val="both"/>
        <w:rPr>
          <w:sz w:val="16"/>
        </w:rPr>
      </w:pPr>
      <w:r>
        <w:rPr>
          <w:sz w:val="16"/>
        </w:rPr>
        <w:t>Contractors are required by law to be licensed and regulated by the Contractors’ state License Board which has jurisdiction to investigate complaints against contractors if a complaint regarding a patent act or om</w:t>
      </w:r>
      <w:r>
        <w:rPr>
          <w:sz w:val="16"/>
        </w:rPr>
        <w:t>ission is filed within four years of the date of the alleged violation.  A complaint regarding a latent act or omission pertaining to structural defects must be filed within 10 years of the date of the alleged violation.  Any questions concerning a contrac</w:t>
      </w:r>
      <w:r>
        <w:rPr>
          <w:sz w:val="16"/>
        </w:rPr>
        <w:t xml:space="preserve">tor may be referred to the Registrar, Contractors State License Board, </w:t>
      </w:r>
      <w:proofErr w:type="gramStart"/>
      <w:r>
        <w:rPr>
          <w:sz w:val="16"/>
        </w:rPr>
        <w:t>P.O</w:t>
      </w:r>
      <w:proofErr w:type="gramEnd"/>
      <w:r>
        <w:rPr>
          <w:sz w:val="16"/>
        </w:rPr>
        <w:t>. Box 26000, Sacramento, California 95826.</w:t>
      </w:r>
    </w:p>
    <w:p w:rsidR="00000000" w:rsidRDefault="00EB4859">
      <w:pPr>
        <w:tabs>
          <w:tab w:val="left" w:pos="4500"/>
        </w:tabs>
        <w:ind w:right="900"/>
        <w:rPr>
          <w:rFonts w:ascii="Arial" w:hAnsi="Arial" w:cs="Arial"/>
          <w:b/>
          <w:bCs/>
          <w:sz w:val="14"/>
        </w:rPr>
      </w:pPr>
    </w:p>
    <w:p w:rsidR="00000000" w:rsidRDefault="00EB4859">
      <w:pPr>
        <w:tabs>
          <w:tab w:val="left" w:pos="4500"/>
        </w:tabs>
        <w:ind w:right="900"/>
        <w:rPr>
          <w:rFonts w:ascii="Arial" w:hAnsi="Arial" w:cs="Arial"/>
          <w:b/>
          <w:bCs/>
          <w:sz w:val="14"/>
        </w:rPr>
      </w:pPr>
    </w:p>
    <w:p w:rsidR="00000000" w:rsidRDefault="00EB4859">
      <w:pPr>
        <w:tabs>
          <w:tab w:val="left" w:pos="4500"/>
        </w:tabs>
        <w:ind w:right="900"/>
        <w:rPr>
          <w:rFonts w:ascii="Arial" w:hAnsi="Arial" w:cs="Arial"/>
          <w:b/>
          <w:bCs/>
          <w:sz w:val="14"/>
        </w:rPr>
      </w:pPr>
    </w:p>
    <w:p w:rsidR="00000000" w:rsidRDefault="00EB4859">
      <w:pPr>
        <w:tabs>
          <w:tab w:val="left" w:pos="4500"/>
        </w:tabs>
        <w:ind w:right="900"/>
        <w:rPr>
          <w:rFonts w:ascii="Arial" w:hAnsi="Arial" w:cs="Arial"/>
          <w:b/>
          <w:bCs/>
          <w:sz w:val="14"/>
        </w:rPr>
      </w:pPr>
    </w:p>
    <w:p w:rsidR="00000000" w:rsidRDefault="00EB4859">
      <w:pPr>
        <w:tabs>
          <w:tab w:val="left" w:pos="4500"/>
        </w:tabs>
        <w:ind w:right="900"/>
        <w:jc w:val="center"/>
        <w:rPr>
          <w:rFonts w:ascii="Arial" w:hAnsi="Arial" w:cs="Arial"/>
          <w:sz w:val="16"/>
        </w:rPr>
      </w:pPr>
      <w:r>
        <w:rPr>
          <w:rFonts w:ascii="Arial" w:hAnsi="Arial" w:cs="Arial"/>
          <w:sz w:val="16"/>
        </w:rPr>
        <w:t>I acknowledge receipt of a copy of this notice on:</w:t>
      </w:r>
    </w:p>
    <w:p w:rsidR="00000000" w:rsidRDefault="00EB4859">
      <w:pPr>
        <w:tabs>
          <w:tab w:val="left" w:pos="4500"/>
        </w:tabs>
        <w:ind w:right="900"/>
        <w:rPr>
          <w:rFonts w:ascii="Arial" w:hAnsi="Arial" w:cs="Arial"/>
          <w:sz w:val="16"/>
        </w:rPr>
      </w:pPr>
    </w:p>
    <w:p w:rsidR="00000000" w:rsidRDefault="00EB4859">
      <w:pPr>
        <w:tabs>
          <w:tab w:val="left" w:pos="4500"/>
        </w:tabs>
        <w:rPr>
          <w:rFonts w:ascii="Arial" w:hAnsi="Arial" w:cs="Arial"/>
          <w:sz w:val="16"/>
        </w:rPr>
      </w:pPr>
    </w:p>
    <w:p w:rsidR="00000000" w:rsidRDefault="00EB4859">
      <w:pPr>
        <w:tabs>
          <w:tab w:val="left" w:pos="4500"/>
        </w:tabs>
        <w:rPr>
          <w:rFonts w:ascii="Arial" w:hAnsi="Arial" w:cs="Arial"/>
          <w:sz w:val="16"/>
        </w:rPr>
      </w:pPr>
    </w:p>
    <w:p w:rsidR="00000000" w:rsidRDefault="00EB4859">
      <w:pPr>
        <w:tabs>
          <w:tab w:val="left" w:pos="4500"/>
        </w:tabs>
        <w:rPr>
          <w:rFonts w:ascii="Arial" w:hAnsi="Arial" w:cs="Arial"/>
          <w:sz w:val="16"/>
        </w:rPr>
      </w:pPr>
      <w:r>
        <w:rPr>
          <w:rFonts w:ascii="Arial" w:hAnsi="Arial" w:cs="Arial"/>
          <w:sz w:val="16"/>
        </w:rPr>
        <w:t>__________________________________________________</w:t>
      </w:r>
    </w:p>
    <w:p w:rsidR="00000000" w:rsidRDefault="00EB4859">
      <w:pPr>
        <w:tabs>
          <w:tab w:val="left" w:pos="4500"/>
        </w:tabs>
        <w:jc w:val="center"/>
        <w:rPr>
          <w:rFonts w:ascii="Arial" w:hAnsi="Arial" w:cs="Arial"/>
          <w:sz w:val="14"/>
        </w:rPr>
      </w:pPr>
      <w:r>
        <w:rPr>
          <w:rFonts w:ascii="Arial" w:hAnsi="Arial" w:cs="Arial"/>
          <w:sz w:val="14"/>
        </w:rPr>
        <w:t>(Date)</w:t>
      </w:r>
    </w:p>
    <w:p w:rsidR="00000000" w:rsidRDefault="00EB4859">
      <w:pPr>
        <w:tabs>
          <w:tab w:val="left" w:pos="4500"/>
        </w:tabs>
        <w:ind w:right="900"/>
        <w:jc w:val="center"/>
        <w:rPr>
          <w:rFonts w:ascii="Arial" w:hAnsi="Arial" w:cs="Arial"/>
          <w:sz w:val="16"/>
        </w:rPr>
      </w:pPr>
    </w:p>
    <w:p w:rsidR="00000000" w:rsidRDefault="00EB4859">
      <w:pPr>
        <w:tabs>
          <w:tab w:val="left" w:pos="4500"/>
        </w:tabs>
        <w:ind w:right="900"/>
        <w:jc w:val="center"/>
        <w:rPr>
          <w:rFonts w:ascii="Arial" w:hAnsi="Arial" w:cs="Arial"/>
          <w:sz w:val="16"/>
        </w:rPr>
      </w:pPr>
    </w:p>
    <w:p w:rsidR="00000000" w:rsidRDefault="00EB4859">
      <w:pPr>
        <w:tabs>
          <w:tab w:val="left" w:pos="4500"/>
        </w:tabs>
        <w:jc w:val="center"/>
        <w:rPr>
          <w:rFonts w:ascii="Arial" w:hAnsi="Arial" w:cs="Arial"/>
          <w:sz w:val="16"/>
        </w:rPr>
      </w:pPr>
    </w:p>
    <w:p w:rsidR="00000000" w:rsidRDefault="00EB4859">
      <w:pPr>
        <w:tabs>
          <w:tab w:val="left" w:pos="4500"/>
        </w:tabs>
        <w:jc w:val="center"/>
        <w:rPr>
          <w:rFonts w:ascii="Arial" w:hAnsi="Arial" w:cs="Arial"/>
          <w:sz w:val="16"/>
        </w:rPr>
      </w:pPr>
    </w:p>
    <w:p w:rsidR="00000000" w:rsidRDefault="00EB4859">
      <w:pPr>
        <w:tabs>
          <w:tab w:val="left" w:pos="4500"/>
        </w:tabs>
        <w:jc w:val="center"/>
        <w:rPr>
          <w:rFonts w:ascii="Arial" w:hAnsi="Arial" w:cs="Arial"/>
          <w:sz w:val="16"/>
        </w:rPr>
      </w:pPr>
      <w:r>
        <w:rPr>
          <w:rFonts w:ascii="Arial" w:hAnsi="Arial" w:cs="Arial"/>
          <w:sz w:val="16"/>
        </w:rPr>
        <w:t>___________________</w:t>
      </w:r>
      <w:r>
        <w:rPr>
          <w:rFonts w:ascii="Arial" w:hAnsi="Arial" w:cs="Arial"/>
          <w:sz w:val="16"/>
        </w:rPr>
        <w:t>_______________________________</w:t>
      </w:r>
    </w:p>
    <w:p w:rsidR="00000000" w:rsidRDefault="00EB4859">
      <w:pPr>
        <w:tabs>
          <w:tab w:val="left" w:pos="4230"/>
          <w:tab w:val="left" w:pos="5040"/>
        </w:tabs>
        <w:ind w:left="180"/>
        <w:jc w:val="center"/>
        <w:rPr>
          <w:rFonts w:ascii="Arial" w:hAnsi="Arial" w:cs="Arial"/>
          <w:sz w:val="14"/>
        </w:rPr>
        <w:sectPr w:rsidR="00000000">
          <w:type w:val="continuous"/>
          <w:pgSz w:w="12240" w:h="15840" w:code="1"/>
          <w:pgMar w:top="547" w:right="1152" w:bottom="720" w:left="1152" w:header="720" w:footer="720" w:gutter="0"/>
          <w:cols w:num="2" w:space="900"/>
          <w:docGrid w:linePitch="360"/>
        </w:sectPr>
      </w:pPr>
      <w:r>
        <w:rPr>
          <w:rFonts w:ascii="Arial" w:hAnsi="Arial" w:cs="Arial"/>
          <w:sz w:val="14"/>
        </w:rPr>
        <w:t>(Signature of Owner)</w:t>
      </w:r>
    </w:p>
    <w:p w:rsidR="00EB4859" w:rsidRDefault="00EB4859"/>
    <w:sectPr w:rsidR="00EB4859">
      <w:pgSz w:w="12240" w:h="15840"/>
      <w:pgMar w:top="1440" w:right="1800" w:bottom="1440" w:left="180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042BB9"/>
    <w:multiLevelType w:val="hybridMultilevel"/>
    <w:tmpl w:val="389876D2"/>
    <w:lvl w:ilvl="0" w:tplc="7D1065F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7761"/>
    <w:rsid w:val="00A07761"/>
    <w:rsid w:val="00EB485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sz w:val="28"/>
    </w:rPr>
  </w:style>
  <w:style w:type="paragraph" w:styleId="BodyTextIndent">
    <w:name w:val="Body Text Indent"/>
    <w:basedOn w:val="Normal"/>
    <w:semiHidden/>
    <w:pPr>
      <w:ind w:firstLine="360"/>
    </w:pPr>
    <w:rPr>
      <w:rFonts w:ascii="Arial" w:hAnsi="Arial" w:cs="Arial"/>
      <w:sz w:val="18"/>
    </w:rPr>
  </w:style>
  <w:style w:type="paragraph" w:styleId="BodyText">
    <w:name w:val="Body Text"/>
    <w:basedOn w:val="Normal"/>
    <w:semiHidden/>
    <w:rPr>
      <w:rFonts w:ascii="Arial" w:hAnsi="Arial" w:cs="Arial"/>
      <w:b/>
      <w:bCs/>
      <w:sz w:val="16"/>
    </w:rPr>
  </w:style>
  <w:style w:type="paragraph" w:styleId="BodyText2">
    <w:name w:val="Body Text 2"/>
    <w:basedOn w:val="Normal"/>
    <w:semiHidden/>
    <w:rPr>
      <w:rFonts w:ascii="Arial" w:hAnsi="Arial" w:cs="Arial"/>
      <w:color w:val="000000"/>
      <w:sz w:val="14"/>
    </w:rPr>
  </w:style>
  <w:style w:type="paragraph" w:styleId="BodyTextIndent2">
    <w:name w:val="Body Text Indent 2"/>
    <w:basedOn w:val="Normal"/>
    <w:semiHidden/>
    <w:pPr>
      <w:ind w:firstLine="360"/>
      <w:jc w:val="both"/>
    </w:pPr>
    <w:rPr>
      <w:rFonts w:ascii="Arial" w:hAnsi="Arial" w:cs="Arial"/>
      <w:sz w:val="16"/>
    </w:rPr>
  </w:style>
  <w:style w:type="paragraph" w:styleId="BodyText3">
    <w:name w:val="Body Text 3"/>
    <w:basedOn w:val="Normal"/>
    <w:semiHidden/>
    <w:pPr>
      <w:tabs>
        <w:tab w:val="left" w:pos="360"/>
      </w:tabs>
      <w:jc w:val="both"/>
    </w:pPr>
    <w:rPr>
      <w:rFonts w:ascii="Arial" w:hAnsi="Arial" w:cs="Arial"/>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NOTICE TO OWNER</vt:lpstr>
    </vt:vector>
  </TitlesOfParts>
  <Company>Hughen Plastering</Company>
  <LinksUpToDate>false</LinksUpToDate>
  <CharactersWithSpaces>6697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OWNER</dc:title>
  <dc:creator>Patrick Hughen</dc:creator>
  <cp:lastModifiedBy>Hughen Plastering</cp:lastModifiedBy>
  <cp:revision>2</cp:revision>
  <cp:lastPrinted>2004-07-07T20:47:00Z</cp:lastPrinted>
  <dcterms:created xsi:type="dcterms:W3CDTF">2008-01-02T18:03:00Z</dcterms:created>
  <dcterms:modified xsi:type="dcterms:W3CDTF">2008-01-02T18:03:00Z</dcterms:modified>
</cp:coreProperties>
</file>